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14" w:rsidRPr="005A2014" w:rsidRDefault="005A2014" w:rsidP="005A2014">
      <w:pPr>
        <w:spacing w:after="100" w:afterAutospacing="1"/>
        <w:outlineLvl w:val="1"/>
        <w:rPr>
          <w:rFonts w:ascii="inherit" w:eastAsia="Times New Roman" w:hAnsi="inherit" w:cs="Times New Roman"/>
          <w:caps/>
          <w:sz w:val="48"/>
          <w:szCs w:val="48"/>
          <w:lang w:eastAsia="nl-NL"/>
        </w:rPr>
      </w:pPr>
      <w:r w:rsidRPr="005A2014">
        <w:rPr>
          <w:rFonts w:ascii="inherit" w:eastAsia="Times New Roman" w:hAnsi="inherit" w:cs="Times New Roman"/>
          <w:caps/>
          <w:sz w:val="48"/>
          <w:szCs w:val="48"/>
          <w:lang w:eastAsia="nl-NL"/>
        </w:rPr>
        <w:t>PARTS LIST</w:t>
      </w:r>
    </w:p>
    <w:p w:rsidR="005A2014" w:rsidRPr="005A2014" w:rsidRDefault="005A2014" w:rsidP="005A2014">
      <w:pPr>
        <w:spacing w:after="100" w:afterAutospacing="1"/>
        <w:outlineLvl w:val="2"/>
        <w:rPr>
          <w:rFonts w:ascii="inherit" w:eastAsia="Times New Roman" w:hAnsi="inherit" w:cs="Times New Roman"/>
          <w:caps/>
          <w:sz w:val="38"/>
          <w:szCs w:val="38"/>
          <w:lang w:eastAsia="nl-NL"/>
        </w:rPr>
      </w:pPr>
      <w:r w:rsidRPr="005A2014">
        <w:rPr>
          <w:rFonts w:ascii="inherit" w:eastAsia="Times New Roman" w:hAnsi="inherit" w:cs="Times New Roman"/>
          <w:caps/>
          <w:sz w:val="38"/>
          <w:szCs w:val="38"/>
          <w:lang w:eastAsia="nl-NL"/>
        </w:rPr>
        <w:t>SEMICONDUCTORS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D1 — MBD101 hot carrier or 1N34 germanium diode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D2, D5 — 1N914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silicon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diode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D3, D4 — MV2109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varactor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diode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D6, D7 — 1N4001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one-amp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silicon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diode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Q1, Q7 — 2N5486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junction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FET (MPF102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work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Q2 — Dual gate MOSFET: MPF121, MPF131, NTE222, or 40673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Q3, Q4, Q5, Q6, Q8, Q9 — 2N3904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general-purpose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NPN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silicon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transistor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U1, U2 — 78L12 voltage regulator, 12 volt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U3 — MC3340P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electronic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volume control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U4 — LM386 audio power amplifier</w:t>
      </w:r>
    </w:p>
    <w:p w:rsidR="005A2014" w:rsidRPr="005A2014" w:rsidRDefault="005A2014" w:rsidP="005A2014">
      <w:pPr>
        <w:spacing w:after="100" w:afterAutospacing="1"/>
        <w:outlineLvl w:val="2"/>
        <w:rPr>
          <w:rFonts w:ascii="inherit" w:eastAsia="Times New Roman" w:hAnsi="inherit" w:cs="Times New Roman"/>
          <w:caps/>
          <w:sz w:val="38"/>
          <w:szCs w:val="38"/>
          <w:lang w:eastAsia="nl-NL"/>
        </w:rPr>
      </w:pPr>
      <w:r w:rsidRPr="005A2014">
        <w:rPr>
          <w:rFonts w:ascii="inherit" w:eastAsia="Times New Roman" w:hAnsi="inherit" w:cs="Times New Roman"/>
          <w:caps/>
          <w:sz w:val="38"/>
          <w:szCs w:val="38"/>
          <w:lang w:eastAsia="nl-NL"/>
        </w:rPr>
        <w:t>RESISTORS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1/4 watt, 5%, carbon,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unless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otherwise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specified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.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R1, R10, R33 — 604,000 ohms, metal film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R2 — 180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R3, R34 — 1,800 ohm, metal film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R4, R5 — 4,700 ohm, metal film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R6 — 15,000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R7 — 100,000-ohm panel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linear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potentiometer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R8 — 5,000-ohm panel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linear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potentiometer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R9 — 10,000-ohm panel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audio potentiometer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R11, R17, R22, R27, R32 — 100 ohm, metal film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R12 — 820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R13, R20, R25, R30, R35, R39 — 1,000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R14, R18, R23, R28 — 82,000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R15, R19, R24, R29, R37 — 10,000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R16, R21, R26, R31, R38 — 1,000 ohm, metal film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R36 — 27,000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R40 — 10 megohm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R41 — 3,300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R42, S4 — 50,000-ohm panel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linear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potentiometer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switch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R43 — 47,000 ohm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R44 — 10 ohm</w:t>
      </w:r>
    </w:p>
    <w:p w:rsidR="005A2014" w:rsidRPr="005A2014" w:rsidRDefault="005A2014" w:rsidP="005A2014">
      <w:pPr>
        <w:spacing w:after="100" w:afterAutospacing="1"/>
        <w:outlineLvl w:val="2"/>
        <w:rPr>
          <w:rFonts w:ascii="inherit" w:eastAsia="Times New Roman" w:hAnsi="inherit" w:cs="Times New Roman"/>
          <w:caps/>
          <w:sz w:val="38"/>
          <w:szCs w:val="38"/>
          <w:lang w:eastAsia="nl-NL"/>
        </w:rPr>
      </w:pPr>
      <w:r w:rsidRPr="005A2014">
        <w:rPr>
          <w:rFonts w:ascii="inherit" w:eastAsia="Times New Roman" w:hAnsi="inherit" w:cs="Times New Roman"/>
          <w:caps/>
          <w:sz w:val="38"/>
          <w:szCs w:val="38"/>
          <w:lang w:eastAsia="nl-NL"/>
        </w:rPr>
        <w:t>CAPACITORS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50-volt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general-purpose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ceramic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except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where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otherwise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specified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.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C1-C6 — 3.5-20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miniature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ceramic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trimmer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C7, C16, C31, C54, C62 — .001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C8, C11, C13-C15, C20, C22, C24, C26, C28, C30, C44, C55, C58, C47 — .01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C9, C10 — 15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mica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C12, C17, C43, C57 — 10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16 volt,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electrolytic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C18 — 330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mica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C19, C42 — 130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mica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C21, C23, C25, C27, C29 — 10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silver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mica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C32-C39 — These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C40, C41, C45, C50, C59 — 0.1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C46 — 0.33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polystyrene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Mylar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C48 — 47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16 volt,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electrolytic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C49 — 630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C51 — 100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16 volt,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electrolytic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C52 — 0.047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C53, C56 — 470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16 volt,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electrolytic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C60, C61 — 4,700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16 volt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electrolytic</w:t>
      </w:r>
      <w:proofErr w:type="spellEnd"/>
    </w:p>
    <w:p w:rsidR="005A2014" w:rsidRPr="005A2014" w:rsidRDefault="005A2014" w:rsidP="005A2014">
      <w:pPr>
        <w:spacing w:after="100" w:afterAutospacing="1"/>
        <w:outlineLvl w:val="1"/>
        <w:rPr>
          <w:rFonts w:ascii="inherit" w:eastAsia="Times New Roman" w:hAnsi="inherit" w:cs="Times New Roman"/>
          <w:caps/>
          <w:sz w:val="48"/>
          <w:szCs w:val="48"/>
          <w:lang w:eastAsia="nl-NL"/>
        </w:rPr>
      </w:pPr>
      <w:r w:rsidRPr="005A2014">
        <w:rPr>
          <w:rFonts w:ascii="inherit" w:eastAsia="Times New Roman" w:hAnsi="inherit" w:cs="Times New Roman"/>
          <w:caps/>
          <w:sz w:val="48"/>
          <w:szCs w:val="48"/>
          <w:lang w:eastAsia="nl-NL"/>
        </w:rPr>
        <w:t>INDUCTORS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L1-L6 — INDUCTORS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builder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six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shortwave bands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desired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 See </w:t>
      </w:r>
      <w:proofErr w:type="spellStart"/>
      <w:r w:rsidRPr="005A201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Table</w:t>
      </w:r>
      <w:proofErr w:type="spellEnd"/>
      <w:r w:rsidRPr="005A201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2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winding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instructions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Cores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depend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bands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chosen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author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four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T-50-6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T-50-2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cores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L7-L9 — 47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mH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self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resonate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(SRF)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greater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26 MHz (J. W. Miller 9250-473).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hand-wind these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inductors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instructions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 </w:t>
      </w:r>
      <w:proofErr w:type="spellStart"/>
      <w:r w:rsidRPr="005A201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Table</w:t>
      </w:r>
      <w:proofErr w:type="spellEnd"/>
      <w:r w:rsidRPr="005A201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2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Three FT-50-61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cores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5A2014" w:rsidRPr="005A2014" w:rsidRDefault="005A2014" w:rsidP="005A2014">
      <w:pPr>
        <w:spacing w:after="100" w:afterAutospacing="1"/>
        <w:outlineLvl w:val="1"/>
        <w:rPr>
          <w:rFonts w:ascii="inherit" w:eastAsia="Times New Roman" w:hAnsi="inherit" w:cs="Times New Roman"/>
          <w:caps/>
          <w:sz w:val="48"/>
          <w:szCs w:val="48"/>
          <w:lang w:eastAsia="nl-NL"/>
        </w:rPr>
      </w:pPr>
      <w:r w:rsidRPr="005A2014">
        <w:rPr>
          <w:rFonts w:ascii="inherit" w:eastAsia="Times New Roman" w:hAnsi="inherit" w:cs="Times New Roman"/>
          <w:caps/>
          <w:sz w:val="48"/>
          <w:szCs w:val="48"/>
          <w:lang w:eastAsia="nl-NL"/>
        </w:rPr>
        <w:t>MISCELLANEOUS</w: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J1 — 2.1 mm DC power jack (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274-1565)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J2 — BNC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female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chassis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connector, or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connector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suitable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counter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cable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J3 — 1/8 inch panel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closed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circuit stereo jack (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274-246)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BP1, BP2 — Binding post or clips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antenna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ground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connection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S1 — Six-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pole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dip switch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S2, S3 — SPDT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miniature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slide switch, PC board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mountable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275-409)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SPKR — Three-inch speaker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40-252, or as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desired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ANT — 30-inch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whip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antenna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270-1401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DC Power Adapter — 15 volts at 500 mA (most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unregulated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supplies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12 volts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actually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supply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15 volts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work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RadioShack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 11327822.</w:t>
      </w: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Miscellaneous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—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Printed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circuit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supplies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6" x 12" x 3/4"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wooden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base, 7" x 13" x 1/8"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particle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board front panel,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knobs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pointers, bumpers,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magnet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wire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hook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-up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wire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solder</w:t>
      </w:r>
      <w:proofErr w:type="spellEnd"/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5A2014" w:rsidRPr="005A2014" w:rsidRDefault="005A2014" w:rsidP="005A2014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0" o:hralign="center" o:hrstd="t" o:hr="t" fillcolor="#a0a0a0" stroked="f"/>
        </w:pict>
      </w:r>
    </w:p>
    <w:p w:rsidR="005A2014" w:rsidRPr="005A2014" w:rsidRDefault="005A2014" w:rsidP="005A2014">
      <w:pPr>
        <w:spacing w:before="360" w:after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lastRenderedPageBreak/>
        <w:t>Editor's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note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- At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time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this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article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was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writen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,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author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offered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PCBs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kits or sale.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While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we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don't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know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if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this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is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still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case,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there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is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mention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on his web site of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PCBs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.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If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interested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, check out </w:t>
      </w:r>
      <w:hyperlink r:id="rId5" w:tgtFrame="_blank" w:history="1">
        <w:r w:rsidRPr="005A2014">
          <w:rPr>
            <w:rFonts w:ascii="Times New Roman" w:eastAsia="Times New Roman" w:hAnsi="Times New Roman" w:cs="Times New Roman"/>
            <w:b/>
            <w:bCs/>
            <w:i/>
            <w:iCs/>
            <w:color w:val="0979BE"/>
            <w:sz w:val="24"/>
            <w:szCs w:val="24"/>
            <w:lang w:eastAsia="nl-NL"/>
          </w:rPr>
          <w:t>www.russwil.org</w:t>
        </w:r>
      </w:hyperlink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 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and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contact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him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at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the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address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listed</w:t>
      </w:r>
      <w:proofErr w:type="spellEnd"/>
      <w:r w:rsidRPr="005A2014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.</w:t>
      </w:r>
    </w:p>
    <w:p w:rsidR="005A2014" w:rsidRPr="005A2014" w:rsidRDefault="005A2014" w:rsidP="005A2014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A201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Start w:id="0" w:name="_GoBack"/>
      <w:bookmarkEnd w:id="0"/>
    </w:p>
    <w:sectPr w:rsidR="005A2014" w:rsidRPr="005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04C"/>
    <w:multiLevelType w:val="multilevel"/>
    <w:tmpl w:val="C87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E467C"/>
    <w:multiLevelType w:val="multilevel"/>
    <w:tmpl w:val="8CEA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24E4"/>
    <w:multiLevelType w:val="multilevel"/>
    <w:tmpl w:val="13B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96E9C"/>
    <w:multiLevelType w:val="multilevel"/>
    <w:tmpl w:val="423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67DB"/>
    <w:multiLevelType w:val="multilevel"/>
    <w:tmpl w:val="314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727F9"/>
    <w:multiLevelType w:val="multilevel"/>
    <w:tmpl w:val="609A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16511"/>
    <w:multiLevelType w:val="multilevel"/>
    <w:tmpl w:val="FC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F0E92"/>
    <w:multiLevelType w:val="multilevel"/>
    <w:tmpl w:val="69B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4"/>
    <w:rsid w:val="00062B3E"/>
    <w:rsid w:val="005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BB7E-5810-4F35-977C-382346A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6944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1340162756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233051942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1424955276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957487124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1660960905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</w:div>
                <w:div w:id="1894266810">
                  <w:marLeft w:val="7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15" w:color="DDDDDD"/>
                    <w:bottom w:val="single" w:sz="6" w:space="8" w:color="DDDDDD"/>
                    <w:right w:val="single" w:sz="6" w:space="15" w:color="DDDDDD"/>
                  </w:divBdr>
                  <w:divsChild>
                    <w:div w:id="10605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wi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Avatar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2019-10-22T21:42:00Z</dcterms:created>
  <dcterms:modified xsi:type="dcterms:W3CDTF">2019-10-22T21:44:00Z</dcterms:modified>
</cp:coreProperties>
</file>